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w:t>
      </w:r>
      <w:r w:rsidR="00AF0AD3">
        <w:rPr>
          <w:rFonts w:ascii="Bookman Old Style" w:eastAsia="Times New Roman" w:hAnsi="Bookman Old Style"/>
          <w:b/>
          <w:sz w:val="24"/>
          <w:szCs w:val="24"/>
          <w:lang w:eastAsia="el-GR"/>
        </w:rPr>
        <w:t>ή ΤΕ ΜΗΧΑΝΙΚΟΣ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AF0AD3">
        <w:rPr>
          <w:rFonts w:ascii="Bookman Old Style" w:eastAsia="Times New Roman" w:hAnsi="Bookman Old Style"/>
          <w:b/>
          <w:sz w:val="24"/>
          <w:szCs w:val="24"/>
          <w:lang w:eastAsia="el-GR"/>
        </w:rPr>
        <w:t>3</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με το οποίο εισήχθη εξαίρεση από το πεδίο εφαρμογής του Ν. 2527/1997 για τις συγχρηματοδοτούμενες συμβάσεις μίσθωσης έργου.</w:t>
      </w:r>
      <w:r w:rsidRPr="00CB7703">
        <w:rPr>
          <w:rFonts w:ascii="Bookman Old Style" w:eastAsia="Times New Roman" w:hAnsi="Bookman Old Style"/>
          <w:b/>
          <w:sz w:val="18"/>
          <w:szCs w:val="18"/>
          <w:lang w:eastAsia="el-GR"/>
        </w:rPr>
        <w:t>Την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χρόνου.Την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έκτατου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AF0AD3">
        <w:rPr>
          <w:rFonts w:ascii="Bookman Old Style" w:eastAsia="Times New Roman" w:hAnsi="Bookman Old Style"/>
          <w:sz w:val="24"/>
          <w:szCs w:val="24"/>
          <w:highlight w:val="lightGray"/>
          <w:lang w:eastAsia="el-GR"/>
        </w:rPr>
        <w:t>ή ΤΕ ΜΗΧΑΝΙΚΟΣ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w:t>
      </w:r>
      <w:r w:rsidR="00AF0AD3">
        <w:rPr>
          <w:rFonts w:ascii="Bookman Old Style" w:eastAsia="Times New Roman" w:hAnsi="Bookman Old Style"/>
          <w:sz w:val="24"/>
          <w:szCs w:val="24"/>
          <w:highlight w:val="lightGray"/>
          <w:lang w:eastAsia="el-GR"/>
        </w:rPr>
        <w:t>3</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ιας της Περιφέρειας Στ.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Καρυστίας,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ομάδος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w:t>
      </w:r>
      <w:r w:rsidR="00AF0AD3">
        <w:rPr>
          <w:rFonts w:ascii="Bookman Old Style" w:eastAsia="Times New Roman" w:hAnsi="Bookman Old Style"/>
          <w:sz w:val="24"/>
          <w:szCs w:val="24"/>
          <w:highlight w:val="lightGray"/>
          <w:lang w:eastAsia="el-GR"/>
        </w:rPr>
        <w:t>ή ΤΕ</w:t>
      </w:r>
      <w:r w:rsidRPr="0084460B">
        <w:rPr>
          <w:rFonts w:ascii="Bookman Old Style" w:eastAsia="Times New Roman" w:hAnsi="Bookman Old Style"/>
          <w:sz w:val="24"/>
          <w:szCs w:val="24"/>
          <w:highlight w:val="lightGray"/>
          <w:lang w:eastAsia="el-GR"/>
        </w:rPr>
        <w:t xml:space="preserve"> </w:t>
      </w:r>
      <w:r w:rsidR="00AF0AD3">
        <w:rPr>
          <w:rFonts w:ascii="Bookman Old Style" w:eastAsia="Times New Roman" w:hAnsi="Bookman Old Style"/>
          <w:sz w:val="24"/>
          <w:szCs w:val="24"/>
          <w:highlight w:val="lightGray"/>
          <w:lang w:eastAsia="el-GR"/>
        </w:rPr>
        <w:t>ΜΗΧΑΝΙΚΟΣ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4312C6">
        <w:rPr>
          <w:rFonts w:ascii="Bookman Old Style" w:eastAsia="Times New Roman" w:hAnsi="Bookman Old Style"/>
          <w:sz w:val="24"/>
          <w:szCs w:val="24"/>
          <w:highlight w:val="lightGray"/>
          <w:lang w:eastAsia="el-GR"/>
        </w:rPr>
        <w:t>2</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e-mails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τις ανάγκες υλοποίησης μέρους του έργου η </w:t>
      </w:r>
      <w:bookmarkStart w:id="0" w:name="_Hlk172903184"/>
      <w:r w:rsidR="00AF0AD3">
        <w:rPr>
          <w:rFonts w:ascii="Bookman Old Style" w:eastAsia="Times New Roman" w:hAnsi="Bookman Old Style"/>
          <w:sz w:val="18"/>
          <w:szCs w:val="18"/>
          <w:lang w:eastAsia="el-GR"/>
        </w:rPr>
        <w:t xml:space="preserve">ΚΞ </w:t>
      </w:r>
      <w:r w:rsidRPr="0088069F">
        <w:rPr>
          <w:rFonts w:ascii="Bookman Old Style" w:eastAsia="Times New Roman" w:hAnsi="Bookman Old Style"/>
          <w:sz w:val="18"/>
          <w:szCs w:val="18"/>
          <w:lang w:eastAsia="el-GR"/>
        </w:rPr>
        <w:t>Αναπτυξιακή Ευβοίας Α.Ε.</w:t>
      </w:r>
      <w:r w:rsidR="00AF0AD3">
        <w:rPr>
          <w:rFonts w:ascii="Bookman Old Style" w:eastAsia="Times New Roman" w:hAnsi="Bookman Old Style"/>
          <w:sz w:val="18"/>
          <w:szCs w:val="18"/>
          <w:lang w:eastAsia="el-GR"/>
        </w:rPr>
        <w:t xml:space="preserve"> &amp; ΟΑΣΕ ΑΑΕ ΟΤΑ</w:t>
      </w:r>
      <w:r w:rsidRPr="0088069F">
        <w:rPr>
          <w:rFonts w:ascii="Bookman Old Style" w:eastAsia="Times New Roman" w:hAnsi="Bookman Old Style"/>
          <w:sz w:val="18"/>
          <w:szCs w:val="18"/>
          <w:lang w:eastAsia="el-GR"/>
        </w:rPr>
        <w:t xml:space="preserve"> </w:t>
      </w:r>
      <w:bookmarkEnd w:id="0"/>
      <w:r w:rsidRPr="0088069F">
        <w:rPr>
          <w:rFonts w:ascii="Bookman Old Style" w:eastAsia="Times New Roman" w:hAnsi="Bookman Old Style"/>
          <w:sz w:val="18"/>
          <w:szCs w:val="18"/>
          <w:lang w:eastAsia="el-GR"/>
        </w:rPr>
        <w:t>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AF0AD3" w:rsidRDefault="00AF0AD3"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 ΠΕ ή ΤΕ ΜΗΧΑΝΙΚΟΣ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247353" w:rsidRPr="00247353" w:rsidRDefault="00247353" w:rsidP="00247353">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 Πιστοποίηση κατασκευαστικών εργασιών των ενταγμένων έργων και σύνταξη των σχετικών εντύπων ελέγχου προόδου του έργου.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4312C6">
              <w:rPr>
                <w:rFonts w:ascii="Bookman Old Style" w:hAnsi="Bookman Old Style" w:cs="Calibri"/>
                <w:b/>
                <w:sz w:val="18"/>
                <w:szCs w:val="18"/>
              </w:rPr>
              <w:t>25.800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w:t>
            </w:r>
            <w:r w:rsidRPr="005B5D1B">
              <w:rPr>
                <w:rFonts w:ascii="Bookman Old Style" w:hAnsi="Bookman Old Style" w:cs="Calibri"/>
                <w:sz w:val="18"/>
                <w:szCs w:val="18"/>
              </w:rPr>
              <w:lastRenderedPageBreak/>
              <w:t>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4312C6">
              <w:rPr>
                <w:rFonts w:ascii="Bookman Old Style" w:eastAsia="Times New Roman" w:hAnsi="Bookman Old Style"/>
                <w:b/>
                <w:bCs/>
                <w:sz w:val="18"/>
                <w:szCs w:val="18"/>
                <w:lang w:eastAsia="el-GR"/>
              </w:rPr>
              <w:t>25.800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1"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1"/>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454E8B">
              <w:rPr>
                <w:rFonts w:ascii="Bookman Old Style" w:eastAsia="Times New Roman" w:hAnsi="Bookman Old Style"/>
                <w:sz w:val="18"/>
                <w:szCs w:val="18"/>
                <w:lang w:eastAsia="el-GR"/>
              </w:rPr>
              <w:t>είκοσι τεσσάρων</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 Γενική επαγγελματική εμπερία</w:t>
            </w:r>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454E8B">
              <w:rPr>
                <w:rFonts w:ascii="Bookman Old Style" w:eastAsia="Times New Roman" w:hAnsi="Bookman Old Style"/>
                <w:sz w:val="18"/>
                <w:szCs w:val="18"/>
                <w:lang w:eastAsia="el-GR"/>
              </w:rPr>
              <w:t>24</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στ)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ια)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ιβ)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(α-ιβ)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4"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4"/>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CaMLA</w:t>
      </w:r>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5"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5"/>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αποκτηθείσα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τηλ.</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notia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evia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Χαινά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7"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7"/>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Χαινα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8" w:name="m_-6744538514828781606_m_-35878190678664"/>
      <w:bookmarkEnd w:id="8"/>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9"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4312C6">
        <w:rPr>
          <w:rFonts w:ascii="Bookman Old Style" w:hAnsi="Bookman Old Style"/>
          <w:b/>
          <w:sz w:val="18"/>
          <w:szCs w:val="18"/>
        </w:rPr>
        <w:t>2</w:t>
      </w:r>
      <w:r w:rsidR="004E6D3A" w:rsidRPr="00CB7703">
        <w:rPr>
          <w:rFonts w:ascii="Bookman Old Style" w:hAnsi="Bookman Old Style"/>
          <w:b/>
          <w:sz w:val="18"/>
          <w:szCs w:val="18"/>
        </w:rPr>
        <w:t xml:space="preserve">- &lt;ΠΕ- </w:t>
      </w:r>
      <w:r w:rsidR="004312C6">
        <w:rPr>
          <w:rFonts w:ascii="Bookman Old Style" w:hAnsi="Bookman Old Style"/>
          <w:b/>
          <w:sz w:val="18"/>
          <w:szCs w:val="18"/>
        </w:rPr>
        <w:t>ΓΕΩΠΟΝ</w:t>
      </w:r>
      <w:r w:rsidR="00B30282">
        <w:rPr>
          <w:rFonts w:ascii="Bookman Old Style" w:hAnsi="Bookman Old Style"/>
          <w:b/>
          <w:sz w:val="18"/>
          <w:szCs w:val="18"/>
        </w:rPr>
        <w:t>ΟΣ</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9"/>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r w:rsidRPr="00B4613C">
        <w:rPr>
          <w:rFonts w:ascii="Bookman Old Style" w:hAnsi="Bookman Old Style"/>
          <w:sz w:val="18"/>
          <w:szCs w:val="18"/>
        </w:rPr>
        <w:t xml:space="preserve">στ)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w:t>
      </w:r>
      <w:r w:rsidRPr="00B30282">
        <w:rPr>
          <w:rFonts w:ascii="Bookman Old Style" w:eastAsia="Times New Roman" w:hAnsi="Bookman Old Style"/>
          <w:b/>
          <w:sz w:val="18"/>
          <w:szCs w:val="18"/>
        </w:rPr>
        <w:lastRenderedPageBreak/>
        <w:t xml:space="preserve">αναλαμβάνει στα πλαίσια </w:t>
      </w:r>
      <w:r w:rsidRPr="00B30282">
        <w:rPr>
          <w:rFonts w:ascii="Bookman Old Style" w:eastAsia="Times New Roman" w:hAnsi="Bookman Old Style"/>
          <w:b/>
          <w:sz w:val="18"/>
          <w:szCs w:val="18"/>
          <w:u w:val="single"/>
        </w:rPr>
        <w:t>της ημερησίας απασχόλησης του, στους χώρους στις εγκαταστάσεις της εταιρείας 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10" w:name="m_4725236379745399800__Toc421429828"/>
      <w:bookmarkStart w:id="11" w:name="m_4725236379745399800__Toc421429829"/>
      <w:r w:rsidRPr="00B65223">
        <w:rPr>
          <w:rFonts w:ascii="Bookman Old Style" w:eastAsia="Times New Roman" w:hAnsi="Bookman Old Style"/>
          <w:b/>
          <w:bCs/>
          <w:spacing w:val="6"/>
          <w:kern w:val="36"/>
          <w:sz w:val="18"/>
          <w:szCs w:val="18"/>
          <w:lang w:eastAsia="el-GR"/>
        </w:rPr>
        <w:t>2. </w:t>
      </w:r>
      <w:bookmarkEnd w:id="10"/>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αντικειμένων/υποέργων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έλεγχου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Ο χειρισμός εξοπλισμού ή και λογισμικού της ΟΤΔ ή και κωδικών  για χρήση των δικτυακών εφαρμογών των διαχειριστικών αρχών πχ του ΟΠΣΑ- ΟΠΣ κ.α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μελή της ομάδος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αντικειμένων-υποέργων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1"/>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AE76D3">
        <w:rPr>
          <w:rFonts w:ascii="Bookman Old Style" w:eastAsia="Times New Roman" w:hAnsi="Bookman Old Style"/>
          <w:b/>
          <w:sz w:val="18"/>
          <w:szCs w:val="18"/>
          <w:lang w:eastAsia="el-GR"/>
        </w:rPr>
        <w:t>30.600</w:t>
      </w:r>
      <w:r w:rsidR="008605A2">
        <w:rPr>
          <w:rFonts w:ascii="Bookman Old Style" w:eastAsia="Times New Roman" w:hAnsi="Bookman Old Style"/>
          <w:b/>
          <w:sz w:val="18"/>
          <w:szCs w:val="18"/>
          <w:lang w:eastAsia="el-GR"/>
        </w:rPr>
        <w:t>,00 € (2</w:t>
      </w:r>
      <w:r w:rsidR="00AE76D3">
        <w:rPr>
          <w:rFonts w:ascii="Bookman Old Style" w:eastAsia="Times New Roman" w:hAnsi="Bookman Old Style"/>
          <w:b/>
          <w:sz w:val="18"/>
          <w:szCs w:val="18"/>
          <w:lang w:eastAsia="el-GR"/>
        </w:rPr>
        <w:t>55</w:t>
      </w:r>
      <w:r w:rsidR="008605A2">
        <w:rPr>
          <w:rFonts w:ascii="Bookman Old Style" w:eastAsia="Times New Roman" w:hAnsi="Bookman Old Style"/>
          <w:b/>
          <w:sz w:val="18"/>
          <w:szCs w:val="18"/>
          <w:lang w:eastAsia="el-GR"/>
        </w:rPr>
        <w:t>0,00€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Οποιεσδήποτε διορθώσεις απαιτηθούν από  τις  Υπηρεσίες  κατά  τη διαδικασία έγκρισης των διαφόρων σταδίων του παραδοθέντος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Την  ευθύνη για το αποτέλεσμα του παρασχεθέντος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(διμηνιαιών)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lastRenderedPageBreak/>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δράσεων-εργων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οποία προέρχεται από μέλος της ομάδος έργου-υπηρεσικού πυρήνα (υπαλλήλους, συμβασιούχου</w:t>
      </w:r>
      <w:r>
        <w:rPr>
          <w:rFonts w:ascii="Bookman Old Style" w:eastAsia="Times New Roman" w:hAnsi="Bookman Old Style"/>
          <w:b/>
          <w:sz w:val="18"/>
          <w:szCs w:val="18"/>
          <w:lang w:eastAsia="el-GR"/>
        </w:rPr>
        <w:t>ς κ.α)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εκτελεσθέντων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εκτελεσθέντων ενεργειών και ημερολόγιο χρονοαπασχόλησης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ευλόγου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Κατά τα λοιπά η παρούσα σύμβαση διέπεται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Χαλκίδος.</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w:t>
    </w:r>
    <w:r w:rsidR="00AF0AD3">
      <w:rPr>
        <w:rFonts w:ascii="Book Antiqua" w:hAnsi="Book Antiqua"/>
        <w:sz w:val="12"/>
        <w:szCs w:val="12"/>
      </w:rPr>
      <w:t xml:space="preserve"> ή ΤΕ ΜΗΧΑΝΙΚ</w:t>
    </w:r>
    <w:r w:rsidR="004312C6">
      <w:rPr>
        <w:rFonts w:ascii="Book Antiqua" w:hAnsi="Book Antiqua"/>
        <w:sz w:val="12"/>
        <w:szCs w:val="12"/>
      </w:rPr>
      <w:t>ΟΣ</w:t>
    </w:r>
    <w:r w:rsidRPr="00A502B3">
      <w:rPr>
        <w:rFonts w:ascii="Book Antiqua" w:hAnsi="Book Antiqua"/>
        <w:sz w:val="12"/>
        <w:szCs w:val="12"/>
      </w:rPr>
      <w:t xml:space="preserve"> -ΣΜΕ0</w:t>
    </w:r>
    <w:r w:rsidR="00A502B3" w:rsidRPr="00AF0AD3">
      <w:rPr>
        <w:rFonts w:ascii="Book Antiqua" w:hAnsi="Book Antiqua"/>
        <w:sz w:val="12"/>
        <w:szCs w:val="12"/>
      </w:rPr>
      <w:t>3</w:t>
    </w:r>
    <w:r w:rsidRPr="00A502B3">
      <w:rPr>
        <w:rFonts w:ascii="Book Antiqua" w:hAnsi="Book Antiqua"/>
        <w:sz w:val="12"/>
        <w:szCs w:val="12"/>
      </w:rPr>
      <w:t>.</w:t>
    </w:r>
    <w:r w:rsidR="00AF0AD3">
      <w:rPr>
        <w:rFonts w:ascii="Book Antiqua" w:hAnsi="Book Antiqua"/>
        <w:sz w:val="12"/>
        <w:szCs w:val="12"/>
      </w:rPr>
      <w:t>3</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1"/>
    <o:shapelayout v:ext="edit">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353"/>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54E8B"/>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0A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F2324C"/>
    <w:rsid w:val="00F24585"/>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122AAA"/>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9147</Words>
  <Characters>49399</Characters>
  <Application>Microsoft Office Word</Application>
  <DocSecurity>0</DocSecurity>
  <Lines>411</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58430</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3</cp:revision>
  <cp:lastPrinted>2017-12-11T16:32:00Z</cp:lastPrinted>
  <dcterms:created xsi:type="dcterms:W3CDTF">2024-07-26T13:20:00Z</dcterms:created>
  <dcterms:modified xsi:type="dcterms:W3CDTF">2024-07-26T13:23:00Z</dcterms:modified>
</cp:coreProperties>
</file>