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Pr="00247DC9" w:rsidRDefault="0006787B"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sidRPr="0006787B">
        <w:rPr>
          <w:rFonts w:ascii="Bookman Old Style" w:eastAsia="Times New Roman" w:hAnsi="Bookman Old Style"/>
          <w:b/>
          <w:sz w:val="24"/>
          <w:szCs w:val="24"/>
          <w:lang w:eastAsia="el-GR"/>
        </w:rPr>
        <w:t xml:space="preserve">ΠΕ - </w:t>
      </w:r>
      <w:r w:rsidR="00247DC9">
        <w:rPr>
          <w:rFonts w:ascii="Bookman Old Style" w:eastAsia="Times New Roman" w:hAnsi="Bookman Old Style"/>
          <w:b/>
          <w:sz w:val="24"/>
          <w:szCs w:val="24"/>
          <w:lang w:eastAsia="el-GR"/>
        </w:rPr>
        <w:t>ΟΙΚΟΝΟΜΟΛΟΓΟΣ</w:t>
      </w:r>
      <w:r w:rsidR="008934E5">
        <w:rPr>
          <w:rFonts w:ascii="Bookman Old Style" w:eastAsia="Times New Roman" w:hAnsi="Bookman Old Style"/>
          <w:b/>
          <w:sz w:val="24"/>
          <w:szCs w:val="24"/>
          <w:lang w:eastAsia="el-GR"/>
        </w:rPr>
        <w:t xml:space="preserve"> 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w:t>
      </w:r>
      <w:r w:rsidR="0069209C">
        <w:rPr>
          <w:rFonts w:ascii="Bookman Old Style" w:eastAsia="Times New Roman" w:hAnsi="Bookman Old Style"/>
          <w:b/>
          <w:sz w:val="24"/>
          <w:szCs w:val="24"/>
          <w:lang w:eastAsia="el-GR"/>
        </w:rPr>
        <w:t>9</w:t>
      </w:r>
    </w:p>
    <w:p w:rsidR="001E76C7" w:rsidRPr="004312C6"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xml:space="preserve">), με το οποίο εισήχθη εξαίρεση από το πεδίο εφαρμογής του Ν. 2527/1997 για τις συγχρηματοδοτούμενες συμβάσεις μίσθωσης </w:t>
      </w:r>
      <w:proofErr w:type="spellStart"/>
      <w:r w:rsidRPr="0088069F">
        <w:rPr>
          <w:rFonts w:ascii="Bookman Old Style" w:eastAsia="Times New Roman" w:hAnsi="Bookman Old Style"/>
          <w:sz w:val="18"/>
          <w:szCs w:val="18"/>
          <w:lang w:eastAsia="el-GR"/>
        </w:rPr>
        <w:t>έργου.</w:t>
      </w:r>
      <w:r w:rsidRPr="00CB7703">
        <w:rPr>
          <w:rFonts w:ascii="Bookman Old Style" w:eastAsia="Times New Roman" w:hAnsi="Bookman Old Style"/>
          <w:b/>
          <w:sz w:val="18"/>
          <w:szCs w:val="18"/>
          <w:lang w:eastAsia="el-GR"/>
        </w:rPr>
        <w:t>Την</w:t>
      </w:r>
      <w:proofErr w:type="spellEnd"/>
      <w:r w:rsidRPr="00CB7703">
        <w:rPr>
          <w:rFonts w:ascii="Bookman Old Style" w:eastAsia="Times New Roman" w:hAnsi="Bookman Old Style"/>
          <w:b/>
          <w:sz w:val="18"/>
          <w:szCs w:val="18"/>
          <w:lang w:eastAsia="el-GR"/>
        </w:rPr>
        <w:t xml:space="preserve">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w:t>
      </w:r>
      <w:proofErr w:type="spellStart"/>
      <w:r w:rsidRPr="0088069F">
        <w:rPr>
          <w:rFonts w:ascii="Bookman Old Style" w:eastAsia="Times New Roman" w:hAnsi="Bookman Old Style"/>
          <w:sz w:val="18"/>
          <w:szCs w:val="18"/>
          <w:lang w:eastAsia="el-GR"/>
        </w:rPr>
        <w:t>χρόνου.Την</w:t>
      </w:r>
      <w:proofErr w:type="spellEnd"/>
      <w:r w:rsidRPr="0088069F">
        <w:rPr>
          <w:rFonts w:ascii="Bookman Old Style" w:eastAsia="Times New Roman" w:hAnsi="Bookman Old Style"/>
          <w:sz w:val="18"/>
          <w:szCs w:val="18"/>
          <w:lang w:eastAsia="el-GR"/>
        </w:rPr>
        <w:t xml:space="preserve">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w:t>
      </w:r>
      <w:proofErr w:type="spellStart"/>
      <w:r>
        <w:rPr>
          <w:rFonts w:ascii="Bookman Old Style" w:eastAsia="Times New Roman" w:hAnsi="Bookman Old Style"/>
          <w:sz w:val="18"/>
          <w:szCs w:val="18"/>
          <w:lang w:eastAsia="el-GR"/>
        </w:rPr>
        <w:t>έκτατου</w:t>
      </w:r>
      <w:proofErr w:type="spellEnd"/>
      <w:r>
        <w:rPr>
          <w:rFonts w:ascii="Bookman Old Style" w:eastAsia="Times New Roman" w:hAnsi="Bookman Old Style"/>
          <w:sz w:val="18"/>
          <w:szCs w:val="18"/>
          <w:lang w:eastAsia="el-GR"/>
        </w:rPr>
        <w:t xml:space="preserve">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EE1C58" w:rsidRPr="0084460B">
        <w:rPr>
          <w:rFonts w:ascii="Bookman Old Style" w:eastAsia="Times New Roman" w:hAnsi="Bookman Old Style"/>
          <w:sz w:val="24"/>
          <w:szCs w:val="24"/>
          <w:highlight w:val="lightGray"/>
          <w:lang w:eastAsia="el-GR"/>
        </w:rPr>
        <w:t xml:space="preserve"> </w:t>
      </w:r>
      <w:r w:rsidR="00247DC9">
        <w:rPr>
          <w:rFonts w:ascii="Bookman Old Style" w:eastAsia="Times New Roman" w:hAnsi="Bookman Old Style"/>
          <w:sz w:val="24"/>
          <w:szCs w:val="24"/>
          <w:highlight w:val="lightGray"/>
          <w:lang w:eastAsia="el-GR"/>
        </w:rPr>
        <w:t>ΟΙΚΟΝΟΜΟΛΟΓΟΣ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69209C">
        <w:rPr>
          <w:rFonts w:ascii="Bookman Old Style" w:eastAsia="Times New Roman" w:hAnsi="Bookman Old Style"/>
          <w:sz w:val="24"/>
          <w:szCs w:val="24"/>
          <w:highlight w:val="lightGray"/>
          <w:lang w:eastAsia="el-GR"/>
        </w:rPr>
        <w:t>.9</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 xml:space="preserve">ιας της Περιφέρειας </w:t>
      </w:r>
      <w:proofErr w:type="spellStart"/>
      <w:r>
        <w:rPr>
          <w:rFonts w:ascii="Bookman Old Style" w:hAnsi="Bookman Old Style" w:cs="Calibri"/>
          <w:sz w:val="18"/>
          <w:szCs w:val="18"/>
        </w:rPr>
        <w:t>Στ</w:t>
      </w:r>
      <w:proofErr w:type="spellEnd"/>
      <w:r>
        <w:rPr>
          <w:rFonts w:ascii="Bookman Old Style" w:hAnsi="Bookman Old Style" w:cs="Calibri"/>
          <w:sz w:val="18"/>
          <w:szCs w:val="18"/>
        </w:rPr>
        <w:t>.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w:t>
      </w:r>
      <w:proofErr w:type="spellStart"/>
      <w:r w:rsidRPr="005561F4">
        <w:rPr>
          <w:rFonts w:ascii="Bookman Old Style" w:hAnsi="Bookman Old Style" w:cs="Calibri"/>
          <w:sz w:val="18"/>
          <w:szCs w:val="18"/>
        </w:rPr>
        <w:t>Καρυστίας</w:t>
      </w:r>
      <w:proofErr w:type="spellEnd"/>
      <w:r w:rsidRPr="005561F4">
        <w:rPr>
          <w:rFonts w:ascii="Bookman Old Style" w:hAnsi="Bookman Old Style" w:cs="Calibri"/>
          <w:sz w:val="18"/>
          <w:szCs w:val="18"/>
        </w:rPr>
        <w:t xml:space="preserve">,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w:t>
      </w:r>
      <w:proofErr w:type="spellStart"/>
      <w:r w:rsidR="003C76BA" w:rsidRPr="00217D4B">
        <w:rPr>
          <w:rFonts w:ascii="Bookman Old Style" w:eastAsia="Times New Roman" w:hAnsi="Bookman Old Style"/>
          <w:sz w:val="18"/>
          <w:szCs w:val="18"/>
          <w:lang w:eastAsia="el-GR"/>
        </w:rPr>
        <w:t>ομάδος</w:t>
      </w:r>
      <w:proofErr w:type="spellEnd"/>
      <w:r w:rsidR="003C76BA" w:rsidRPr="00217D4B">
        <w:rPr>
          <w:rFonts w:ascii="Bookman Old Style" w:eastAsia="Times New Roman" w:hAnsi="Bookman Old Style"/>
          <w:sz w:val="18"/>
          <w:szCs w:val="18"/>
          <w:lang w:eastAsia="el-GR"/>
        </w:rPr>
        <w:t xml:space="preserve">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435B5F" w:rsidRPr="0084460B" w:rsidRDefault="00435B5F" w:rsidP="0084460B">
      <w:pPr>
        <w:numPr>
          <w:ilvl w:val="0"/>
          <w:numId w:val="2"/>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ΠΕ - </w:t>
      </w:r>
      <w:r w:rsidR="00247DC9">
        <w:rPr>
          <w:rFonts w:ascii="Bookman Old Style" w:eastAsia="Times New Roman" w:hAnsi="Bookman Old Style"/>
          <w:sz w:val="24"/>
          <w:szCs w:val="24"/>
          <w:highlight w:val="lightGray"/>
          <w:lang w:eastAsia="el-GR"/>
        </w:rPr>
        <w:t>ΟΙΚΟΝΟΜΟΛΟΓΟΣ</w:t>
      </w:r>
      <w:r w:rsidR="00C71C2F">
        <w:rPr>
          <w:rFonts w:ascii="Bookman Old Style" w:eastAsia="Times New Roman" w:hAnsi="Bookman Old Style"/>
          <w:sz w:val="24"/>
          <w:szCs w:val="24"/>
          <w:highlight w:val="lightGray"/>
          <w:lang w:eastAsia="el-GR"/>
        </w:rPr>
        <w:t xml:space="preserve"> θέση ΣΜΕ0</w:t>
      </w:r>
      <w:r w:rsidR="004312C6">
        <w:rPr>
          <w:rFonts w:ascii="Bookman Old Style" w:eastAsia="Times New Roman" w:hAnsi="Bookman Old Style"/>
          <w:sz w:val="24"/>
          <w:szCs w:val="24"/>
          <w:highlight w:val="lightGray"/>
          <w:lang w:eastAsia="el-GR"/>
        </w:rPr>
        <w:t>3</w:t>
      </w:r>
      <w:r w:rsidR="00C71C2F">
        <w:rPr>
          <w:rFonts w:ascii="Bookman Old Style" w:eastAsia="Times New Roman" w:hAnsi="Bookman Old Style"/>
          <w:sz w:val="24"/>
          <w:szCs w:val="24"/>
          <w:highlight w:val="lightGray"/>
          <w:lang w:eastAsia="el-GR"/>
        </w:rPr>
        <w:t>.</w:t>
      </w:r>
      <w:r w:rsidR="0069209C">
        <w:rPr>
          <w:rFonts w:ascii="Bookman Old Style" w:eastAsia="Times New Roman" w:hAnsi="Bookman Old Style"/>
          <w:sz w:val="24"/>
          <w:szCs w:val="24"/>
          <w:highlight w:val="lightGray"/>
          <w:lang w:eastAsia="el-GR"/>
        </w:rPr>
        <w:t>9</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proofErr w:type="spellStart"/>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w:t>
      </w:r>
      <w:proofErr w:type="spellEnd"/>
      <w:r w:rsidRPr="0088069F">
        <w:rPr>
          <w:rFonts w:ascii="Bookman Old Style" w:eastAsia="Times New Roman" w:hAnsi="Bookman Old Style"/>
          <w:sz w:val="18"/>
          <w:szCs w:val="18"/>
          <w:lang w:eastAsia="el-GR"/>
        </w:rPr>
        <w:t xml:space="preserve">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w:t>
      </w:r>
      <w:proofErr w:type="spellStart"/>
      <w:r w:rsidRPr="0088069F">
        <w:rPr>
          <w:rFonts w:ascii="Bookman Old Style" w:eastAsia="Times New Roman" w:hAnsi="Bookman Old Style"/>
          <w:sz w:val="18"/>
          <w:szCs w:val="18"/>
          <w:lang w:eastAsia="el-GR"/>
        </w:rPr>
        <w:t>mails</w:t>
      </w:r>
      <w:proofErr w:type="spellEnd"/>
      <w:r w:rsidRPr="0088069F">
        <w:rPr>
          <w:rFonts w:ascii="Bookman Old Style" w:eastAsia="Times New Roman" w:hAnsi="Bookman Old Style"/>
          <w:sz w:val="18"/>
          <w:szCs w:val="18"/>
          <w:lang w:eastAsia="el-GR"/>
        </w:rPr>
        <w:t xml:space="preserve">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Για τις ανάγκες υλοποίησης μέρους του έργου η Αναπτυξιακή Ευβοίας Α.Ε. 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EE1C58" w:rsidRDefault="00EE1C58"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highlight w:val="lightGray"/>
                <w:lang w:val="en-US" w:eastAsia="el-GR"/>
              </w:rPr>
              <w:t xml:space="preserve"> </w:t>
            </w:r>
            <w:r w:rsidR="00A374DD" w:rsidRPr="00CB7703">
              <w:rPr>
                <w:rFonts w:ascii="Bookman Old Style" w:eastAsia="Times New Roman" w:hAnsi="Bookman Old Style"/>
                <w:sz w:val="18"/>
                <w:szCs w:val="18"/>
                <w:highlight w:val="lightGray"/>
                <w:lang w:eastAsia="el-GR"/>
              </w:rPr>
              <w:t xml:space="preserve"> Π.Ε.</w:t>
            </w:r>
            <w:r w:rsidRPr="00B30282">
              <w:rPr>
                <w:rFonts w:ascii="Bookman Old Style" w:eastAsia="Times New Roman" w:hAnsi="Bookman Old Style"/>
                <w:sz w:val="18"/>
                <w:szCs w:val="18"/>
                <w:highlight w:val="lightGray"/>
                <w:lang w:eastAsia="el-GR"/>
              </w:rPr>
              <w:t xml:space="preserve"> </w:t>
            </w:r>
            <w:r w:rsidR="00B30282" w:rsidRPr="00B30282">
              <w:rPr>
                <w:rFonts w:ascii="Bookman Old Style" w:eastAsia="Times New Roman" w:hAnsi="Bookman Old Style"/>
                <w:sz w:val="18"/>
                <w:szCs w:val="18"/>
                <w:highlight w:val="lightGray"/>
                <w:lang w:eastAsia="el-GR"/>
              </w:rPr>
              <w:t xml:space="preserve"> - </w:t>
            </w:r>
            <w:r w:rsidR="00AB49EF">
              <w:rPr>
                <w:rFonts w:ascii="Bookman Old Style" w:eastAsia="Times New Roman" w:hAnsi="Bookman Old Style"/>
                <w:sz w:val="18"/>
                <w:szCs w:val="18"/>
                <w:lang w:eastAsia="el-GR"/>
              </w:rPr>
              <w:t>ΟΙΚΟΝΟΜΟΛΟΓΟΣ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D37ED2" w:rsidRPr="00D37ED2">
              <w:rPr>
                <w:rFonts w:ascii="Bookman Old Style" w:eastAsia="Times New Roman" w:hAnsi="Bookman Old Style"/>
                <w:b/>
                <w:sz w:val="18"/>
                <w:szCs w:val="18"/>
                <w:u w:val="single"/>
                <w:lang w:eastAsia="el-GR"/>
              </w:rPr>
              <w:t>.</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9209C" w:rsidRDefault="0069209C" w:rsidP="00EC0F7B">
            <w:pPr>
              <w:spacing w:before="100" w:beforeAutospacing="1" w:after="0" w:line="240" w:lineRule="auto"/>
              <w:ind w:left="601"/>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6. Τήρηση Λογιστικών Βιβλίων και πραγματοποίηση λογιστικών εγγραφών</w:t>
            </w:r>
          </w:p>
          <w:p w:rsidR="0069209C" w:rsidRDefault="0069209C" w:rsidP="00EC0F7B">
            <w:pPr>
              <w:spacing w:before="100" w:beforeAutospacing="1" w:after="0" w:line="240" w:lineRule="auto"/>
              <w:ind w:left="601"/>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7. Σύνταξη οικονομικών καταστάσεων </w:t>
            </w:r>
          </w:p>
          <w:p w:rsidR="0069209C" w:rsidRPr="0088069F" w:rsidRDefault="0069209C" w:rsidP="00EC0F7B">
            <w:pPr>
              <w:spacing w:before="100" w:beforeAutospacing="1" w:after="0" w:line="240" w:lineRule="auto"/>
              <w:ind w:left="601"/>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8. Υποβολή όλων των ειδών δηλώσεων προς τις αρμόδιες υπηρεσίας Δ.Ο.Υ / ΕΦΚΑ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lastRenderedPageBreak/>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8</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EE4E9F" w:rsidP="00EC0F7B">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9</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A374DD"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0</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1</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2</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3</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00EE4E9F">
              <w:rPr>
                <w:rFonts w:ascii="Bookman Old Style" w:eastAsia="Times New Roman" w:hAnsi="Bookman Old Style"/>
                <w:sz w:val="18"/>
                <w:szCs w:val="18"/>
                <w:lang w:eastAsia="el-GR"/>
              </w:rPr>
              <w:t>4</w:t>
            </w:r>
            <w:r w:rsidRPr="0088069F">
              <w:rPr>
                <w:rFonts w:ascii="Bookman Old Style" w:eastAsia="Times New Roman" w:hAnsi="Bookman Old Style"/>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69209C">
              <w:rPr>
                <w:rFonts w:ascii="Bookman Old Style" w:hAnsi="Bookman Old Style" w:cs="Calibri"/>
                <w:b/>
                <w:bCs/>
                <w:sz w:val="18"/>
                <w:szCs w:val="18"/>
              </w:rPr>
              <w:t>12.600</w:t>
            </w:r>
            <w:r w:rsidR="0064395B">
              <w:rPr>
                <w:rFonts w:ascii="Bookman Old Style" w:hAnsi="Bookman Old Style" w:cs="Calibri"/>
                <w:b/>
                <w:sz w:val="18"/>
                <w:szCs w:val="18"/>
              </w:rPr>
              <w:t>,00 €</w:t>
            </w:r>
            <w:r w:rsidR="0069209C">
              <w:rPr>
                <w:rFonts w:ascii="Bookman Old Style" w:hAnsi="Bookman Old Style" w:cs="Calibri"/>
                <w:b/>
                <w:sz w:val="18"/>
                <w:szCs w:val="18"/>
              </w:rPr>
              <w:t xml:space="preserve"> συν ΦΠΑ</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w:t>
            </w:r>
            <w:r w:rsidR="00593D58" w:rsidRPr="00217D4B">
              <w:rPr>
                <w:rFonts w:ascii="Bookman Old Style" w:eastAsia="Times New Roman" w:hAnsi="Bookman Old Style"/>
                <w:sz w:val="18"/>
                <w:szCs w:val="18"/>
                <w:u w:val="single"/>
                <w:lang w:eastAsia="el-GR"/>
              </w:rPr>
              <w:lastRenderedPageBreak/>
              <w:t>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31/12/20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ημερομηνία λήξης της υπό σύναψη σύμβασης σε κάθε περίπτωση δεν θα μπορεί να ξεπερνά τα αναφερόμενα ανωτέρω χρονικά πλαίσια για τη 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69209C">
              <w:rPr>
                <w:rFonts w:ascii="Bookman Old Style" w:eastAsia="Times New Roman" w:hAnsi="Bookman Old Style"/>
                <w:sz w:val="18"/>
                <w:szCs w:val="18"/>
                <w:lang w:eastAsia="el-GR"/>
              </w:rPr>
              <w:t>12</w:t>
            </w:r>
            <w:r w:rsidR="004312C6" w:rsidRPr="00F41ADE">
              <w:rPr>
                <w:rFonts w:ascii="Bookman Old Style" w:eastAsia="Times New Roman" w:hAnsi="Bookman Old Style"/>
                <w:b/>
                <w:bCs/>
                <w:sz w:val="18"/>
                <w:szCs w:val="18"/>
                <w:lang w:eastAsia="el-GR"/>
              </w:rPr>
              <w:t>.</w:t>
            </w:r>
            <w:r w:rsidR="0069209C">
              <w:rPr>
                <w:rFonts w:ascii="Bookman Old Style" w:eastAsia="Times New Roman" w:hAnsi="Bookman Old Style"/>
                <w:b/>
                <w:bCs/>
                <w:sz w:val="18"/>
                <w:szCs w:val="18"/>
                <w:lang w:eastAsia="el-GR"/>
              </w:rPr>
              <w:t>6</w:t>
            </w:r>
            <w:r w:rsidR="004312C6">
              <w:rPr>
                <w:rFonts w:ascii="Bookman Old Style" w:eastAsia="Times New Roman" w:hAnsi="Bookman Old Style"/>
                <w:b/>
                <w:bCs/>
                <w:sz w:val="18"/>
                <w:szCs w:val="18"/>
                <w:lang w:eastAsia="el-GR"/>
              </w:rPr>
              <w:t>00</w:t>
            </w:r>
            <w:r w:rsidR="0064395B">
              <w:rPr>
                <w:rFonts w:ascii="Bookman Old Style" w:eastAsia="Times New Roman" w:hAnsi="Bookman Old Style"/>
                <w:b/>
                <w:bCs/>
                <w:sz w:val="18"/>
                <w:szCs w:val="18"/>
                <w:lang w:eastAsia="el-GR"/>
              </w:rPr>
              <w:t>,00 €</w:t>
            </w:r>
            <w:r w:rsidR="0069209C">
              <w:rPr>
                <w:rFonts w:ascii="Bookman Old Style" w:eastAsia="Times New Roman" w:hAnsi="Bookman Old Style"/>
                <w:b/>
                <w:bCs/>
                <w:sz w:val="18"/>
                <w:szCs w:val="18"/>
                <w:lang w:eastAsia="el-GR"/>
              </w:rPr>
              <w:t xml:space="preserve"> συν ΦΠΑ</w:t>
            </w:r>
            <w:r w:rsidR="00EE1C58">
              <w:rPr>
                <w:rFonts w:ascii="Bookman Old Style" w:eastAsia="Times New Roman" w:hAnsi="Bookman Old Style"/>
                <w:b/>
                <w:bCs/>
                <w:sz w:val="18"/>
                <w:szCs w:val="18"/>
                <w:lang w:eastAsia="el-GR"/>
              </w:rPr>
              <w:t xml:space="preserve"> </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0"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0"/>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Εμπειρία τουλάχιστον</w:t>
            </w:r>
            <w:r w:rsidR="00F41ADE">
              <w:rPr>
                <w:rFonts w:ascii="Bookman Old Style" w:eastAsia="Times New Roman" w:hAnsi="Bookman Old Style"/>
                <w:sz w:val="18"/>
                <w:szCs w:val="18"/>
                <w:lang w:eastAsia="el-GR"/>
              </w:rPr>
              <w:t xml:space="preserve"> είκοσι τεσσάρων</w:t>
            </w:r>
            <w:r w:rsidR="0064395B">
              <w:rPr>
                <w:rFonts w:ascii="Bookman Old Style" w:eastAsia="Times New Roman" w:hAnsi="Bookman Old Style"/>
                <w:sz w:val="18"/>
                <w:szCs w:val="18"/>
                <w:lang w:eastAsia="el-GR"/>
              </w:rPr>
              <w:t xml:space="preserve"> μηνών πάνω σε διαχείριση αντίστοιχων ή παρόμοιων προγραμμάτων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δ) Γενική επαγγελματική </w:t>
            </w:r>
            <w:proofErr w:type="spellStart"/>
            <w:r>
              <w:rPr>
                <w:rFonts w:ascii="Bookman Old Style" w:eastAsia="Times New Roman" w:hAnsi="Bookman Old Style"/>
                <w:sz w:val="18"/>
                <w:szCs w:val="18"/>
                <w:lang w:eastAsia="el-GR"/>
              </w:rPr>
              <w:t>εμπερία</w:t>
            </w:r>
            <w:proofErr w:type="spellEnd"/>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 xml:space="preserve">ο των </w:t>
            </w:r>
            <w:r w:rsidR="00F8640B">
              <w:rPr>
                <w:rFonts w:ascii="Bookman Old Style" w:eastAsia="Times New Roman" w:hAnsi="Bookman Old Style"/>
                <w:sz w:val="18"/>
                <w:szCs w:val="18"/>
                <w:lang w:eastAsia="el-GR"/>
              </w:rPr>
              <w:t>12</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1" w:name="m_-3587819067866409725__Toc403033251"/>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1"/>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στ</w:t>
      </w:r>
      <w:proofErr w:type="spellEnd"/>
      <w:r w:rsidRPr="0088069F">
        <w:rPr>
          <w:rFonts w:ascii="Bookman Old Style" w:eastAsia="Times New Roman" w:hAnsi="Bookman Old Style"/>
          <w:sz w:val="18"/>
          <w:szCs w:val="18"/>
          <w:lang w:eastAsia="el-GR"/>
        </w:rPr>
        <w:t>)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88069F">
        <w:rPr>
          <w:rFonts w:ascii="Bookman Old Style" w:eastAsia="Times New Roman" w:hAnsi="Bookman Old Style"/>
          <w:sz w:val="18"/>
          <w:szCs w:val="18"/>
          <w:lang w:eastAsia="el-GR"/>
        </w:rPr>
        <w:t>δεδικασμένου</w:t>
      </w:r>
      <w:proofErr w:type="spellEnd"/>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ια</w:t>
      </w:r>
      <w:proofErr w:type="spellEnd"/>
      <w:r w:rsidRPr="0088069F">
        <w:rPr>
          <w:rFonts w:ascii="Bookman Old Style" w:eastAsia="Times New Roman" w:hAnsi="Bookman Old Style"/>
          <w:sz w:val="18"/>
          <w:szCs w:val="18"/>
          <w:lang w:eastAsia="el-GR"/>
        </w:rPr>
        <w:t xml:space="preserve">)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proofErr w:type="spellStart"/>
      <w:r w:rsidRPr="0088069F">
        <w:rPr>
          <w:rFonts w:ascii="Bookman Old Style" w:eastAsia="Times New Roman" w:hAnsi="Bookman Old Style"/>
          <w:sz w:val="18"/>
          <w:szCs w:val="18"/>
          <w:lang w:eastAsia="el-GR"/>
        </w:rPr>
        <w:t>ιβ</w:t>
      </w:r>
      <w:proofErr w:type="spellEnd"/>
      <w:r w:rsidRPr="0088069F">
        <w:rPr>
          <w:rFonts w:ascii="Bookman Old Style" w:eastAsia="Times New Roman" w:hAnsi="Bookman Old Style"/>
          <w:sz w:val="18"/>
          <w:szCs w:val="18"/>
          <w:lang w:eastAsia="el-GR"/>
        </w:rPr>
        <w:t>)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 xml:space="preserve">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w:t>
      </w:r>
      <w:proofErr w:type="spellStart"/>
      <w:r w:rsidRPr="0088069F">
        <w:rPr>
          <w:rFonts w:ascii="Bookman Old Style" w:eastAsia="Times New Roman" w:hAnsi="Bookman Old Style"/>
          <w:sz w:val="18"/>
          <w:szCs w:val="18"/>
          <w:lang w:eastAsia="el-GR"/>
        </w:rPr>
        <w:t>παράγρ</w:t>
      </w:r>
      <w:proofErr w:type="spellEnd"/>
      <w:r w:rsidRPr="0088069F">
        <w:rPr>
          <w:rFonts w:ascii="Bookman Old Style" w:eastAsia="Times New Roman" w:hAnsi="Bookman Old Style"/>
          <w:sz w:val="18"/>
          <w:szCs w:val="18"/>
          <w:lang w:eastAsia="el-GR"/>
        </w:rPr>
        <w:t>.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w:t>
      </w:r>
      <w:proofErr w:type="spellStart"/>
      <w:r w:rsidRPr="0088069F">
        <w:rPr>
          <w:rFonts w:ascii="Bookman Old Style" w:eastAsia="Times New Roman" w:hAnsi="Bookman Old Style"/>
          <w:sz w:val="18"/>
          <w:szCs w:val="18"/>
          <w:lang w:eastAsia="el-GR"/>
        </w:rPr>
        <w:t>ιβ</w:t>
      </w:r>
      <w:proofErr w:type="spellEnd"/>
      <w:r w:rsidRPr="0088069F">
        <w:rPr>
          <w:rFonts w:ascii="Bookman Old Style" w:eastAsia="Times New Roman" w:hAnsi="Bookman Old Style"/>
          <w:sz w:val="18"/>
          <w:szCs w:val="18"/>
          <w:lang w:eastAsia="el-GR"/>
        </w:rPr>
        <w:t>)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proofErr w:type="spellStart"/>
      <w:r w:rsidRPr="0088069F">
        <w:rPr>
          <w:rFonts w:ascii="Bookman Old Style" w:eastAsia="Times New Roman" w:hAnsi="Bookman Old Style"/>
          <w:i/>
          <w:iCs/>
          <w:sz w:val="18"/>
          <w:szCs w:val="18"/>
          <w:lang w:val="en-US" w:eastAsia="el-GR"/>
        </w:rPr>
        <w:t>CaMLA</w:t>
      </w:r>
      <w:proofErr w:type="spellEnd"/>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4"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4"/>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w:t>
      </w:r>
      <w:proofErr w:type="spellStart"/>
      <w:r w:rsidRPr="0088069F">
        <w:rPr>
          <w:rFonts w:ascii="Bookman Old Style" w:eastAsia="Times New Roman" w:hAnsi="Bookman Old Style"/>
          <w:sz w:val="18"/>
          <w:szCs w:val="18"/>
          <w:lang w:eastAsia="el-GR"/>
        </w:rPr>
        <w:t>αποκτηθείσα</w:t>
      </w:r>
      <w:proofErr w:type="spellEnd"/>
      <w:r w:rsidRPr="0088069F">
        <w:rPr>
          <w:rFonts w:ascii="Bookman Old Style" w:eastAsia="Times New Roman" w:hAnsi="Bookman Old Style"/>
          <w:sz w:val="18"/>
          <w:szCs w:val="18"/>
          <w:lang w:eastAsia="el-GR"/>
        </w:rPr>
        <w:t xml:space="preserve">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5"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5"/>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roofErr w:type="spellStart"/>
      <w:r w:rsidRPr="0088069F">
        <w:rPr>
          <w:rFonts w:ascii="Bookman Old Style" w:eastAsia="Times New Roman" w:hAnsi="Bookman Old Style"/>
          <w:sz w:val="18"/>
          <w:szCs w:val="18"/>
          <w:lang w:eastAsia="el-GR"/>
        </w:rPr>
        <w:t>τηλ</w:t>
      </w:r>
      <w:proofErr w:type="spellEnd"/>
      <w:r w:rsidRPr="0088069F">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proofErr w:type="spellStart"/>
      <w:r w:rsidRPr="008C55AC">
        <w:rPr>
          <w:rFonts w:ascii="Bookman Old Style" w:eastAsia="Times New Roman" w:hAnsi="Bookman Old Style"/>
          <w:sz w:val="18"/>
          <w:szCs w:val="18"/>
          <w:lang w:val="en-US" w:eastAsia="el-GR"/>
        </w:rPr>
        <w:t>notia</w:t>
      </w:r>
      <w:proofErr w:type="spellEnd"/>
      <w:r w:rsidRPr="008C55AC">
        <w:rPr>
          <w:rFonts w:ascii="Bookman Old Style" w:eastAsia="Times New Roman" w:hAnsi="Bookman Old Style"/>
          <w:sz w:val="18"/>
          <w:szCs w:val="18"/>
          <w:lang w:eastAsia="el-GR"/>
        </w:rPr>
        <w:t>-</w:t>
      </w:r>
      <w:proofErr w:type="spellStart"/>
      <w:r w:rsidRPr="008C55AC">
        <w:rPr>
          <w:rFonts w:ascii="Bookman Old Style" w:eastAsia="Times New Roman" w:hAnsi="Bookman Old Style"/>
          <w:sz w:val="18"/>
          <w:szCs w:val="18"/>
          <w:lang w:val="en-US" w:eastAsia="el-GR"/>
        </w:rPr>
        <w:t>evia</w:t>
      </w:r>
      <w:proofErr w:type="spellEnd"/>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w:t>
      </w:r>
      <w:proofErr w:type="spellStart"/>
      <w:r>
        <w:rPr>
          <w:rFonts w:ascii="Bookman Old Style" w:eastAsia="Times New Roman" w:hAnsi="Bookman Old Style"/>
          <w:sz w:val="18"/>
          <w:szCs w:val="18"/>
          <w:lang w:eastAsia="el-GR"/>
        </w:rPr>
        <w:t>Χαινά</w:t>
      </w:r>
      <w:proofErr w:type="spellEnd"/>
      <w:r>
        <w:rPr>
          <w:rFonts w:ascii="Bookman Old Style" w:eastAsia="Times New Roman" w:hAnsi="Bookman Old Style"/>
          <w:sz w:val="18"/>
          <w:szCs w:val="18"/>
          <w:lang w:eastAsia="el-GR"/>
        </w:rPr>
        <w:t xml:space="preserve">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w:t>
      </w:r>
      <w:proofErr w:type="spellStart"/>
      <w:r>
        <w:rPr>
          <w:rFonts w:ascii="Bookman Old Style" w:eastAsia="Times New Roman" w:hAnsi="Bookman Old Style"/>
          <w:sz w:val="18"/>
          <w:szCs w:val="18"/>
          <w:lang w:eastAsia="el-GR"/>
        </w:rPr>
        <w:t>Χαινα</w:t>
      </w:r>
      <w:proofErr w:type="spellEnd"/>
      <w:r>
        <w:rPr>
          <w:rFonts w:ascii="Bookman Old Style" w:eastAsia="Times New Roman" w:hAnsi="Bookman Old Style"/>
          <w:sz w:val="18"/>
          <w:szCs w:val="18"/>
          <w:lang w:eastAsia="el-GR"/>
        </w:rPr>
        <w:t xml:space="preserve">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7" w:name="m_-6744538514828781606_m_-35878190678664"/>
      <w:bookmarkEnd w:id="7"/>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lastRenderedPageBreak/>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8"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w:t>
      </w:r>
      <w:r w:rsidR="0069209C">
        <w:rPr>
          <w:rFonts w:ascii="Bookman Old Style" w:hAnsi="Bookman Old Style"/>
          <w:b/>
          <w:sz w:val="18"/>
          <w:szCs w:val="18"/>
        </w:rPr>
        <w:t>9</w:t>
      </w:r>
      <w:r w:rsidR="004E6D3A" w:rsidRPr="00CB7703">
        <w:rPr>
          <w:rFonts w:ascii="Bookman Old Style" w:hAnsi="Bookman Old Style"/>
          <w:b/>
          <w:sz w:val="18"/>
          <w:szCs w:val="18"/>
        </w:rPr>
        <w:t xml:space="preserve">- &lt;ΠΕ- </w:t>
      </w:r>
      <w:r w:rsidR="00F8640B">
        <w:rPr>
          <w:rFonts w:ascii="Bookman Old Style" w:hAnsi="Bookman Old Style"/>
          <w:b/>
          <w:sz w:val="18"/>
          <w:szCs w:val="18"/>
        </w:rPr>
        <w:t>ΟΙΚΟΝΟΜΟΛΟΓΟ</w:t>
      </w:r>
      <w:r w:rsidR="00B30282">
        <w:rPr>
          <w:rFonts w:ascii="Bookman Old Style" w:hAnsi="Bookman Old Style"/>
          <w:b/>
          <w:sz w:val="18"/>
          <w:szCs w:val="18"/>
        </w:rPr>
        <w:t>Σ</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8"/>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lastRenderedPageBreak/>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proofErr w:type="spellStart"/>
      <w:r w:rsidRPr="00B4613C">
        <w:rPr>
          <w:rFonts w:ascii="Bookman Old Style" w:hAnsi="Bookman Old Style"/>
          <w:sz w:val="18"/>
          <w:szCs w:val="18"/>
        </w:rPr>
        <w:t>στ</w:t>
      </w:r>
      <w:proofErr w:type="spellEnd"/>
      <w:r w:rsidRPr="00B4613C">
        <w:rPr>
          <w:rFonts w:ascii="Bookman Old Style" w:hAnsi="Bookman Old Style"/>
          <w:sz w:val="18"/>
          <w:szCs w:val="18"/>
        </w:rPr>
        <w:t xml:space="preserve">)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αναλαμβάνει στα πλαίσια </w:t>
      </w:r>
      <w:r w:rsidRPr="00B30282">
        <w:rPr>
          <w:rFonts w:ascii="Bookman Old Style" w:eastAsia="Times New Roman" w:hAnsi="Bookman Old Style"/>
          <w:b/>
          <w:sz w:val="18"/>
          <w:szCs w:val="18"/>
          <w:u w:val="single"/>
        </w:rPr>
        <w:t>της ημερησίας απασχόλησης του, στους χώρους στις εγκαταστάσεις της εταιρείας 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9" w:name="m_4725236379745399800__Toc421429828"/>
      <w:bookmarkStart w:id="10" w:name="m_4725236379745399800__Toc421429829"/>
      <w:r w:rsidRPr="00B65223">
        <w:rPr>
          <w:rFonts w:ascii="Bookman Old Style" w:eastAsia="Times New Roman" w:hAnsi="Bookman Old Style"/>
          <w:b/>
          <w:bCs/>
          <w:spacing w:val="6"/>
          <w:kern w:val="36"/>
          <w:sz w:val="18"/>
          <w:szCs w:val="18"/>
          <w:lang w:eastAsia="el-GR"/>
        </w:rPr>
        <w:t>2. </w:t>
      </w:r>
      <w:bookmarkEnd w:id="9"/>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w:t>
      </w:r>
      <w:proofErr w:type="spellStart"/>
      <w:r>
        <w:rPr>
          <w:rFonts w:ascii="Bookman Old Style" w:eastAsia="Times New Roman" w:hAnsi="Bookman Old Style"/>
          <w:sz w:val="18"/>
          <w:szCs w:val="18"/>
          <w:lang w:eastAsia="el-GR"/>
        </w:rPr>
        <w:t>υποέργων</w:t>
      </w:r>
      <w:proofErr w:type="spellEnd"/>
      <w:r>
        <w:rPr>
          <w:rFonts w:ascii="Bookman Old Style" w:eastAsia="Times New Roman" w:hAnsi="Bookman Old Style"/>
          <w:sz w:val="18"/>
          <w:szCs w:val="18"/>
          <w:lang w:eastAsia="el-GR"/>
        </w:rPr>
        <w:t xml:space="preserve">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w:t>
      </w:r>
      <w:proofErr w:type="spellStart"/>
      <w:r w:rsidRPr="00FE4123">
        <w:rPr>
          <w:rFonts w:ascii="Bookman Old Style" w:eastAsia="Times New Roman" w:hAnsi="Bookman Old Style"/>
          <w:sz w:val="18"/>
          <w:szCs w:val="18"/>
          <w:lang w:eastAsia="el-GR"/>
        </w:rPr>
        <w:t>έλεγχου</w:t>
      </w:r>
      <w:proofErr w:type="spellEnd"/>
      <w:r w:rsidRPr="00FE4123">
        <w:rPr>
          <w:rFonts w:ascii="Bookman Old Style" w:eastAsia="Times New Roman" w:hAnsi="Bookman Old Style"/>
          <w:sz w:val="18"/>
          <w:szCs w:val="18"/>
          <w:lang w:eastAsia="el-GR"/>
        </w:rPr>
        <w:t xml:space="preserve">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Ο χειρισμός εξοπλισμού ή και λογισμικού της ΟΤΔ ή και κωδικών  για χρήση των δικτυακών εφαρμογών των διαχειριστικών αρχών πχ του ΟΠΣΑ- ΟΠΣ </w:t>
      </w:r>
      <w:proofErr w:type="spellStart"/>
      <w:r w:rsidRPr="00FE4123">
        <w:rPr>
          <w:rFonts w:ascii="Bookman Old Style" w:eastAsia="Times New Roman" w:hAnsi="Bookman Old Style"/>
          <w:sz w:val="18"/>
          <w:szCs w:val="18"/>
          <w:lang w:eastAsia="el-GR"/>
        </w:rPr>
        <w:t>κ.α</w:t>
      </w:r>
      <w:proofErr w:type="spellEnd"/>
      <w:r w:rsidRPr="00FE4123">
        <w:rPr>
          <w:rFonts w:ascii="Bookman Old Style" w:eastAsia="Times New Roman" w:hAnsi="Bookman Old Style"/>
          <w:sz w:val="18"/>
          <w:szCs w:val="18"/>
          <w:lang w:eastAsia="el-GR"/>
        </w:rPr>
        <w:t xml:space="preserve">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 xml:space="preserve">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w:t>
      </w:r>
      <w:proofErr w:type="spellStart"/>
      <w:r w:rsidRPr="00FE4123">
        <w:rPr>
          <w:rFonts w:ascii="Bookman Old Style" w:eastAsia="Times New Roman" w:hAnsi="Bookman Old Style"/>
          <w:sz w:val="18"/>
          <w:szCs w:val="18"/>
          <w:lang w:eastAsia="el-GR"/>
        </w:rPr>
        <w:t>μελή</w:t>
      </w:r>
      <w:proofErr w:type="spellEnd"/>
      <w:r w:rsidRPr="00FE4123">
        <w:rPr>
          <w:rFonts w:ascii="Bookman Old Style" w:eastAsia="Times New Roman" w:hAnsi="Bookman Old Style"/>
          <w:sz w:val="18"/>
          <w:szCs w:val="18"/>
          <w:lang w:eastAsia="el-GR"/>
        </w:rPr>
        <w:t xml:space="preserve"> της </w:t>
      </w:r>
      <w:proofErr w:type="spellStart"/>
      <w:r w:rsidRPr="00FE4123">
        <w:rPr>
          <w:rFonts w:ascii="Bookman Old Style" w:eastAsia="Times New Roman" w:hAnsi="Bookman Old Style"/>
          <w:sz w:val="18"/>
          <w:szCs w:val="18"/>
          <w:lang w:eastAsia="el-GR"/>
        </w:rPr>
        <w:t>ομάδος</w:t>
      </w:r>
      <w:proofErr w:type="spellEnd"/>
      <w:r w:rsidRPr="00FE4123">
        <w:rPr>
          <w:rFonts w:ascii="Bookman Old Style" w:eastAsia="Times New Roman" w:hAnsi="Bookman Old Style"/>
          <w:sz w:val="18"/>
          <w:szCs w:val="18"/>
          <w:lang w:eastAsia="el-GR"/>
        </w:rPr>
        <w:t xml:space="preserve">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w:t>
      </w:r>
      <w:proofErr w:type="spellStart"/>
      <w:r w:rsidRPr="00B65223">
        <w:rPr>
          <w:rFonts w:ascii="Bookman Old Style" w:eastAsia="Times New Roman" w:hAnsi="Bookman Old Style"/>
          <w:sz w:val="18"/>
          <w:szCs w:val="18"/>
          <w:lang w:eastAsia="el-GR"/>
        </w:rPr>
        <w:t>υποέργων</w:t>
      </w:r>
      <w:proofErr w:type="spellEnd"/>
      <w:r w:rsidRPr="00B65223">
        <w:rPr>
          <w:rFonts w:ascii="Bookman Old Style" w:eastAsia="Times New Roman" w:hAnsi="Bookman Old Style"/>
          <w:sz w:val="18"/>
          <w:szCs w:val="18"/>
          <w:lang w:eastAsia="el-GR"/>
        </w:rPr>
        <w:t xml:space="preserve">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0"/>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31/12/20</w:t>
      </w:r>
      <w:r w:rsidR="008605A2">
        <w:rPr>
          <w:rFonts w:ascii="Bookman Old Style" w:eastAsia="Times New Roman" w:hAnsi="Bookman Old Style"/>
          <w:sz w:val="18"/>
          <w:szCs w:val="18"/>
          <w:lang w:eastAsia="el-GR"/>
        </w:rPr>
        <w:t>2</w:t>
      </w:r>
      <w:r w:rsidR="00AE76D3">
        <w:rPr>
          <w:rFonts w:ascii="Bookman Old Style" w:eastAsia="Times New Roman" w:hAnsi="Bookman Old Style"/>
          <w:sz w:val="18"/>
          <w:szCs w:val="18"/>
          <w:lang w:eastAsia="el-GR"/>
        </w:rPr>
        <w:t>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69209C">
        <w:rPr>
          <w:rFonts w:ascii="Bookman Old Style" w:eastAsia="Times New Roman" w:hAnsi="Bookman Old Style"/>
          <w:b/>
          <w:sz w:val="18"/>
          <w:szCs w:val="18"/>
          <w:lang w:eastAsia="el-GR"/>
        </w:rPr>
        <w:t>12</w:t>
      </w:r>
      <w:r w:rsidR="00AE76D3">
        <w:rPr>
          <w:rFonts w:ascii="Bookman Old Style" w:eastAsia="Times New Roman" w:hAnsi="Bookman Old Style"/>
          <w:b/>
          <w:sz w:val="18"/>
          <w:szCs w:val="18"/>
          <w:lang w:eastAsia="el-GR"/>
        </w:rPr>
        <w:t>.</w:t>
      </w:r>
      <w:r w:rsidR="0069209C">
        <w:rPr>
          <w:rFonts w:ascii="Bookman Old Style" w:eastAsia="Times New Roman" w:hAnsi="Bookman Old Style"/>
          <w:b/>
          <w:sz w:val="18"/>
          <w:szCs w:val="18"/>
          <w:lang w:eastAsia="el-GR"/>
        </w:rPr>
        <w:t>6</w:t>
      </w:r>
      <w:r w:rsidR="00AE76D3">
        <w:rPr>
          <w:rFonts w:ascii="Bookman Old Style" w:eastAsia="Times New Roman" w:hAnsi="Bookman Old Style"/>
          <w:b/>
          <w:sz w:val="18"/>
          <w:szCs w:val="18"/>
          <w:lang w:eastAsia="el-GR"/>
        </w:rPr>
        <w:t>00</w:t>
      </w:r>
      <w:r w:rsidR="008605A2">
        <w:rPr>
          <w:rFonts w:ascii="Bookman Old Style" w:eastAsia="Times New Roman" w:hAnsi="Bookman Old Style"/>
          <w:b/>
          <w:sz w:val="18"/>
          <w:szCs w:val="18"/>
          <w:lang w:eastAsia="el-GR"/>
        </w:rPr>
        <w:t>,00 € (</w:t>
      </w:r>
      <w:r w:rsidR="0069209C">
        <w:rPr>
          <w:rFonts w:ascii="Bookman Old Style" w:eastAsia="Times New Roman" w:hAnsi="Bookman Old Style"/>
          <w:b/>
          <w:sz w:val="18"/>
          <w:szCs w:val="18"/>
          <w:lang w:eastAsia="el-GR"/>
        </w:rPr>
        <w:t>1050</w:t>
      </w:r>
      <w:r w:rsidR="008605A2">
        <w:rPr>
          <w:rFonts w:ascii="Bookman Old Style" w:eastAsia="Times New Roman" w:hAnsi="Bookman Old Style"/>
          <w:b/>
          <w:sz w:val="18"/>
          <w:szCs w:val="18"/>
          <w:lang w:eastAsia="el-GR"/>
        </w:rPr>
        <w:t>,00€ Χ 12)</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 xml:space="preserve">και θα καταβάλλεται  τμηματικά  και  ανάλογα  με  την </w:t>
      </w:r>
      <w:r w:rsidRPr="00B65223">
        <w:rPr>
          <w:rFonts w:ascii="Bookman Old Style" w:eastAsia="Times New Roman" w:hAnsi="Bookman Old Style"/>
          <w:sz w:val="18"/>
          <w:szCs w:val="18"/>
          <w:lang w:eastAsia="el-GR"/>
        </w:rPr>
        <w:lastRenderedPageBreak/>
        <w:t>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 xml:space="preserve">Οποιεσδήποτε διορθώσεις απαιτηθούν από  τις  Υπηρεσίες  κατά  τη διαδικασία έγκρισης των διαφόρων σταδίων του </w:t>
      </w:r>
      <w:proofErr w:type="spellStart"/>
      <w:r w:rsidR="0064327B" w:rsidRPr="00B65223">
        <w:rPr>
          <w:rFonts w:ascii="Bookman Old Style" w:eastAsia="Times New Roman" w:hAnsi="Bookman Old Style"/>
          <w:sz w:val="18"/>
          <w:szCs w:val="18"/>
          <w:lang w:eastAsia="el-GR"/>
        </w:rPr>
        <w:t>παραδοθέντος</w:t>
      </w:r>
      <w:proofErr w:type="spellEnd"/>
      <w:r w:rsidR="0064327B" w:rsidRPr="00B65223">
        <w:rPr>
          <w:rFonts w:ascii="Bookman Old Style" w:eastAsia="Times New Roman" w:hAnsi="Bookman Old Style"/>
          <w:sz w:val="18"/>
          <w:szCs w:val="18"/>
          <w:lang w:eastAsia="el-GR"/>
        </w:rPr>
        <w:t xml:space="preserve">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 xml:space="preserve">Την  ευθύνη για το αποτέλεσμα του </w:t>
      </w:r>
      <w:proofErr w:type="spellStart"/>
      <w:r w:rsidRPr="00961D26">
        <w:rPr>
          <w:rFonts w:ascii="Bookman Old Style" w:eastAsia="Times New Roman" w:hAnsi="Bookman Old Style"/>
          <w:b/>
          <w:sz w:val="18"/>
          <w:szCs w:val="18"/>
          <w:lang w:eastAsia="el-GR"/>
        </w:rPr>
        <w:t>παρασχεθέντος</w:t>
      </w:r>
      <w:proofErr w:type="spellEnd"/>
      <w:r w:rsidRPr="00961D26">
        <w:rPr>
          <w:rFonts w:ascii="Bookman Old Style" w:eastAsia="Times New Roman" w:hAnsi="Bookman Old Style"/>
          <w:b/>
          <w:sz w:val="18"/>
          <w:szCs w:val="18"/>
          <w:lang w:eastAsia="el-GR"/>
        </w:rPr>
        <w:t xml:space="preserve">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lastRenderedPageBreak/>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w:t>
      </w:r>
      <w:proofErr w:type="spellStart"/>
      <w:r w:rsidRPr="008B6AA2">
        <w:rPr>
          <w:rFonts w:ascii="Bookman Old Style" w:eastAsia="Times New Roman" w:hAnsi="Bookman Old Style"/>
          <w:sz w:val="18"/>
          <w:szCs w:val="18"/>
          <w:lang w:eastAsia="el-GR"/>
        </w:rPr>
        <w:t>διμηνιαιών</w:t>
      </w:r>
      <w:proofErr w:type="spellEnd"/>
      <w:r w:rsidRPr="008B6AA2">
        <w:rPr>
          <w:rFonts w:ascii="Bookman Old Style" w:eastAsia="Times New Roman" w:hAnsi="Bookman Old Style"/>
          <w:sz w:val="18"/>
          <w:szCs w:val="18"/>
          <w:lang w:eastAsia="el-GR"/>
        </w:rPr>
        <w:t>)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w:t>
      </w:r>
      <w:proofErr w:type="spellStart"/>
      <w:r>
        <w:rPr>
          <w:rFonts w:ascii="Bookman Old Style" w:eastAsia="Times New Roman" w:hAnsi="Bookman Old Style"/>
          <w:sz w:val="18"/>
          <w:szCs w:val="18"/>
          <w:lang w:eastAsia="el-GR"/>
        </w:rPr>
        <w:t>εργων</w:t>
      </w:r>
      <w:proofErr w:type="spellEnd"/>
      <w:r>
        <w:rPr>
          <w:rFonts w:ascii="Bookman Old Style" w:eastAsia="Times New Roman" w:hAnsi="Bookman Old Style"/>
          <w:sz w:val="18"/>
          <w:szCs w:val="18"/>
          <w:lang w:eastAsia="el-GR"/>
        </w:rPr>
        <w:t xml:space="preserve">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 xml:space="preserve">οποία προέρχεται από μέλος της </w:t>
      </w:r>
      <w:proofErr w:type="spellStart"/>
      <w:r w:rsidRPr="00BC5F49">
        <w:rPr>
          <w:rFonts w:ascii="Bookman Old Style" w:eastAsia="Times New Roman" w:hAnsi="Bookman Old Style"/>
          <w:b/>
          <w:sz w:val="18"/>
          <w:szCs w:val="18"/>
          <w:lang w:eastAsia="el-GR"/>
        </w:rPr>
        <w:t>ομάδος</w:t>
      </w:r>
      <w:proofErr w:type="spellEnd"/>
      <w:r w:rsidRPr="00BC5F49">
        <w:rPr>
          <w:rFonts w:ascii="Bookman Old Style" w:eastAsia="Times New Roman" w:hAnsi="Bookman Old Style"/>
          <w:b/>
          <w:sz w:val="18"/>
          <w:szCs w:val="18"/>
          <w:lang w:eastAsia="el-GR"/>
        </w:rPr>
        <w:t xml:space="preserve"> έργου-</w:t>
      </w:r>
      <w:proofErr w:type="spellStart"/>
      <w:r w:rsidRPr="00BC5F49">
        <w:rPr>
          <w:rFonts w:ascii="Bookman Old Style" w:eastAsia="Times New Roman" w:hAnsi="Bookman Old Style"/>
          <w:b/>
          <w:sz w:val="18"/>
          <w:szCs w:val="18"/>
          <w:lang w:eastAsia="el-GR"/>
        </w:rPr>
        <w:t>υπηρεσικού</w:t>
      </w:r>
      <w:proofErr w:type="spellEnd"/>
      <w:r w:rsidRPr="00BC5F49">
        <w:rPr>
          <w:rFonts w:ascii="Bookman Old Style" w:eastAsia="Times New Roman" w:hAnsi="Bookman Old Style"/>
          <w:b/>
          <w:sz w:val="18"/>
          <w:szCs w:val="18"/>
          <w:lang w:eastAsia="el-GR"/>
        </w:rPr>
        <w:t xml:space="preserve"> πυρήνα (υπαλλήλους, συμβασιούχου</w:t>
      </w:r>
      <w:r>
        <w:rPr>
          <w:rFonts w:ascii="Bookman Old Style" w:eastAsia="Times New Roman" w:hAnsi="Bookman Old Style"/>
          <w:b/>
          <w:sz w:val="18"/>
          <w:szCs w:val="18"/>
          <w:lang w:eastAsia="el-GR"/>
        </w:rPr>
        <w:t xml:space="preserve">ς </w:t>
      </w:r>
      <w:proofErr w:type="spellStart"/>
      <w:r>
        <w:rPr>
          <w:rFonts w:ascii="Bookman Old Style" w:eastAsia="Times New Roman" w:hAnsi="Bookman Old Style"/>
          <w:b/>
          <w:sz w:val="18"/>
          <w:szCs w:val="18"/>
          <w:lang w:eastAsia="el-GR"/>
        </w:rPr>
        <w:t>κ.α</w:t>
      </w:r>
      <w:proofErr w:type="spellEnd"/>
      <w:r>
        <w:rPr>
          <w:rFonts w:ascii="Bookman Old Style" w:eastAsia="Times New Roman" w:hAnsi="Bookman Old Style"/>
          <w:b/>
          <w:sz w:val="18"/>
          <w:szCs w:val="18"/>
          <w:lang w:eastAsia="el-GR"/>
        </w:rPr>
        <w:t>)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w:t>
      </w:r>
      <w:proofErr w:type="spellStart"/>
      <w:r w:rsidRPr="003B45D0">
        <w:rPr>
          <w:rFonts w:ascii="Bookman Old Style" w:eastAsia="Times New Roman" w:hAnsi="Bookman Old Style"/>
          <w:sz w:val="18"/>
          <w:szCs w:val="18"/>
          <w:lang w:eastAsia="el-GR"/>
        </w:rPr>
        <w:t>εκτελεσθέντων</w:t>
      </w:r>
      <w:proofErr w:type="spellEnd"/>
      <w:r w:rsidRPr="003B45D0">
        <w:rPr>
          <w:rFonts w:ascii="Bookman Old Style" w:eastAsia="Times New Roman" w:hAnsi="Bookman Old Style"/>
          <w:sz w:val="18"/>
          <w:szCs w:val="18"/>
          <w:lang w:eastAsia="el-GR"/>
        </w:rPr>
        <w:t>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w:t>
      </w:r>
      <w:proofErr w:type="spellStart"/>
      <w:r w:rsidRPr="003B45D0">
        <w:rPr>
          <w:rFonts w:ascii="Bookman Old Style" w:eastAsia="Times New Roman" w:hAnsi="Bookman Old Style"/>
          <w:sz w:val="18"/>
          <w:szCs w:val="18"/>
          <w:lang w:eastAsia="el-GR"/>
        </w:rPr>
        <w:t>εκτελεσθέντων</w:t>
      </w:r>
      <w:proofErr w:type="spellEnd"/>
      <w:r w:rsidRPr="003B45D0">
        <w:rPr>
          <w:rFonts w:ascii="Bookman Old Style" w:eastAsia="Times New Roman" w:hAnsi="Bookman Old Style"/>
          <w:sz w:val="18"/>
          <w:szCs w:val="18"/>
          <w:lang w:eastAsia="el-GR"/>
        </w:rPr>
        <w:t xml:space="preserve"> ενεργειών και ημερολόγιο </w:t>
      </w:r>
      <w:proofErr w:type="spellStart"/>
      <w:r w:rsidRPr="003B45D0">
        <w:rPr>
          <w:rFonts w:ascii="Bookman Old Style" w:eastAsia="Times New Roman" w:hAnsi="Bookman Old Style"/>
          <w:sz w:val="18"/>
          <w:szCs w:val="18"/>
          <w:lang w:eastAsia="el-GR"/>
        </w:rPr>
        <w:t>χρονοαπασχόλησης</w:t>
      </w:r>
      <w:proofErr w:type="spellEnd"/>
      <w:r w:rsidRPr="003B45D0">
        <w:rPr>
          <w:rFonts w:ascii="Bookman Old Style" w:eastAsia="Times New Roman" w:hAnsi="Bookman Old Style"/>
          <w:sz w:val="18"/>
          <w:szCs w:val="18"/>
          <w:lang w:eastAsia="el-GR"/>
        </w:rPr>
        <w:t xml:space="preserve">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w:t>
      </w:r>
      <w:proofErr w:type="spellStart"/>
      <w:r w:rsidRPr="003B45D0">
        <w:rPr>
          <w:rFonts w:ascii="Bookman Old Style" w:eastAsia="Times New Roman" w:hAnsi="Bookman Old Style"/>
          <w:sz w:val="18"/>
          <w:szCs w:val="18"/>
          <w:lang w:eastAsia="el-GR"/>
        </w:rPr>
        <w:t>ευλόγου</w:t>
      </w:r>
      <w:proofErr w:type="spellEnd"/>
      <w:r w:rsidRPr="003B45D0">
        <w:rPr>
          <w:rFonts w:ascii="Bookman Old Style" w:eastAsia="Times New Roman" w:hAnsi="Bookman Old Style"/>
          <w:sz w:val="18"/>
          <w:szCs w:val="18"/>
          <w:lang w:eastAsia="el-GR"/>
        </w:rPr>
        <w:t xml:space="preserve">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Κατά τα λοιπά η παρούσα σύμβαση </w:t>
      </w:r>
      <w:proofErr w:type="spellStart"/>
      <w:r w:rsidRPr="00B65223">
        <w:rPr>
          <w:rFonts w:ascii="Bookman Old Style" w:eastAsia="Times New Roman" w:hAnsi="Bookman Old Style"/>
          <w:sz w:val="18"/>
          <w:szCs w:val="18"/>
          <w:lang w:eastAsia="el-GR"/>
        </w:rPr>
        <w:t>διέπεται</w:t>
      </w:r>
      <w:proofErr w:type="spellEnd"/>
      <w:r w:rsidRPr="00B65223">
        <w:rPr>
          <w:rFonts w:ascii="Bookman Old Style" w:eastAsia="Times New Roman" w:hAnsi="Bookman Old Style"/>
          <w:sz w:val="18"/>
          <w:szCs w:val="18"/>
          <w:lang w:eastAsia="el-GR"/>
        </w:rPr>
        <w:t xml:space="preserve">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w:t>
      </w:r>
      <w:proofErr w:type="spellStart"/>
      <w:r w:rsidRPr="00B65223">
        <w:rPr>
          <w:rFonts w:ascii="Bookman Old Style" w:eastAsia="Times New Roman" w:hAnsi="Bookman Old Style"/>
          <w:sz w:val="18"/>
          <w:szCs w:val="18"/>
          <w:lang w:eastAsia="el-GR"/>
        </w:rPr>
        <w:t>Χαλκίδος</w:t>
      </w:r>
      <w:proofErr w:type="spellEnd"/>
      <w:r w:rsidRPr="00B65223">
        <w:rPr>
          <w:rFonts w:ascii="Bookman Old Style" w:eastAsia="Times New Roman" w:hAnsi="Bookman Old Style"/>
          <w:sz w:val="18"/>
          <w:szCs w:val="18"/>
          <w:lang w:eastAsia="el-GR"/>
        </w:rPr>
        <w:t>.</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 -</w:t>
    </w:r>
    <w:r w:rsidR="00247DC9">
      <w:rPr>
        <w:rFonts w:ascii="Book Antiqua" w:hAnsi="Book Antiqua"/>
        <w:sz w:val="12"/>
        <w:szCs w:val="12"/>
      </w:rPr>
      <w:t xml:space="preserve"> ΟΙΚΟΝΟΜΟΛΟΓ</w:t>
    </w:r>
    <w:r w:rsidR="004312C6">
      <w:rPr>
        <w:rFonts w:ascii="Book Antiqua" w:hAnsi="Book Antiqua"/>
        <w:sz w:val="12"/>
        <w:szCs w:val="12"/>
      </w:rPr>
      <w:t>ΟΣ</w:t>
    </w:r>
    <w:r w:rsidRPr="00A502B3">
      <w:rPr>
        <w:rFonts w:ascii="Book Antiqua" w:hAnsi="Book Antiqua"/>
        <w:sz w:val="12"/>
        <w:szCs w:val="12"/>
      </w:rPr>
      <w:t xml:space="preserve"> -ΣΜΕ0</w:t>
    </w:r>
    <w:r w:rsidR="00A502B3">
      <w:rPr>
        <w:rFonts w:ascii="Book Antiqua" w:hAnsi="Book Antiqua"/>
        <w:sz w:val="12"/>
        <w:szCs w:val="12"/>
        <w:lang w:val="en-US"/>
      </w:rPr>
      <w:t>3</w:t>
    </w:r>
    <w:r w:rsidRPr="00A502B3">
      <w:rPr>
        <w:rFonts w:ascii="Book Antiqua" w:hAnsi="Book Antiqua"/>
        <w:sz w:val="12"/>
        <w:szCs w:val="12"/>
      </w:rPr>
      <w:t>.</w:t>
    </w:r>
    <w:r w:rsidR="0069209C">
      <w:rPr>
        <w:rFonts w:ascii="Book Antiqua" w:hAnsi="Book Antiqua"/>
        <w:sz w:val="12"/>
        <w:szCs w:val="12"/>
      </w:rPr>
      <w:t>9</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47DC9"/>
    <w:rsid w:val="00261EAF"/>
    <w:rsid w:val="002867EA"/>
    <w:rsid w:val="00293338"/>
    <w:rsid w:val="00297175"/>
    <w:rsid w:val="002B442B"/>
    <w:rsid w:val="002F6571"/>
    <w:rsid w:val="00302B9C"/>
    <w:rsid w:val="00322986"/>
    <w:rsid w:val="00330F3D"/>
    <w:rsid w:val="00331380"/>
    <w:rsid w:val="00336D30"/>
    <w:rsid w:val="0034143B"/>
    <w:rsid w:val="0034540A"/>
    <w:rsid w:val="003970E2"/>
    <w:rsid w:val="003A3A24"/>
    <w:rsid w:val="003B2F56"/>
    <w:rsid w:val="003B45D0"/>
    <w:rsid w:val="003B6681"/>
    <w:rsid w:val="003B75C4"/>
    <w:rsid w:val="003C76BA"/>
    <w:rsid w:val="003F2AD9"/>
    <w:rsid w:val="00410030"/>
    <w:rsid w:val="0041446E"/>
    <w:rsid w:val="004269A4"/>
    <w:rsid w:val="004312C6"/>
    <w:rsid w:val="004335C7"/>
    <w:rsid w:val="00435B5F"/>
    <w:rsid w:val="00445167"/>
    <w:rsid w:val="004510DC"/>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750E"/>
    <w:rsid w:val="00613C41"/>
    <w:rsid w:val="00621EF1"/>
    <w:rsid w:val="006328EE"/>
    <w:rsid w:val="0064327B"/>
    <w:rsid w:val="0064395B"/>
    <w:rsid w:val="00681190"/>
    <w:rsid w:val="0069209C"/>
    <w:rsid w:val="006D1489"/>
    <w:rsid w:val="006E0146"/>
    <w:rsid w:val="006F7C41"/>
    <w:rsid w:val="00705842"/>
    <w:rsid w:val="00705FC1"/>
    <w:rsid w:val="00717010"/>
    <w:rsid w:val="007205D1"/>
    <w:rsid w:val="00760501"/>
    <w:rsid w:val="00761121"/>
    <w:rsid w:val="00763473"/>
    <w:rsid w:val="007C5243"/>
    <w:rsid w:val="007E22EB"/>
    <w:rsid w:val="007E58CE"/>
    <w:rsid w:val="007F1BFB"/>
    <w:rsid w:val="008106E1"/>
    <w:rsid w:val="00824131"/>
    <w:rsid w:val="0082526B"/>
    <w:rsid w:val="0084256B"/>
    <w:rsid w:val="0084460B"/>
    <w:rsid w:val="00846313"/>
    <w:rsid w:val="008468E4"/>
    <w:rsid w:val="008542D8"/>
    <w:rsid w:val="008605A2"/>
    <w:rsid w:val="00862FF5"/>
    <w:rsid w:val="00866F76"/>
    <w:rsid w:val="00872261"/>
    <w:rsid w:val="008934E5"/>
    <w:rsid w:val="008944D6"/>
    <w:rsid w:val="00896126"/>
    <w:rsid w:val="008C29AD"/>
    <w:rsid w:val="008C55AC"/>
    <w:rsid w:val="008D11A5"/>
    <w:rsid w:val="00912A76"/>
    <w:rsid w:val="009206E2"/>
    <w:rsid w:val="00952A49"/>
    <w:rsid w:val="0095630D"/>
    <w:rsid w:val="00960A67"/>
    <w:rsid w:val="00961D26"/>
    <w:rsid w:val="00962A45"/>
    <w:rsid w:val="0097126F"/>
    <w:rsid w:val="009951C5"/>
    <w:rsid w:val="009A4AE6"/>
    <w:rsid w:val="009A6CB8"/>
    <w:rsid w:val="009B2493"/>
    <w:rsid w:val="009B4544"/>
    <w:rsid w:val="009D2C81"/>
    <w:rsid w:val="009E686F"/>
    <w:rsid w:val="009F415F"/>
    <w:rsid w:val="00A01600"/>
    <w:rsid w:val="00A11C40"/>
    <w:rsid w:val="00A236A4"/>
    <w:rsid w:val="00A347DB"/>
    <w:rsid w:val="00A374DD"/>
    <w:rsid w:val="00A471C7"/>
    <w:rsid w:val="00A502B3"/>
    <w:rsid w:val="00A615BA"/>
    <w:rsid w:val="00A81C08"/>
    <w:rsid w:val="00A87E38"/>
    <w:rsid w:val="00AB49EF"/>
    <w:rsid w:val="00AB54E1"/>
    <w:rsid w:val="00AB666A"/>
    <w:rsid w:val="00AC3052"/>
    <w:rsid w:val="00AD4C3B"/>
    <w:rsid w:val="00AD676B"/>
    <w:rsid w:val="00AE76D3"/>
    <w:rsid w:val="00AF5BE5"/>
    <w:rsid w:val="00B30282"/>
    <w:rsid w:val="00B423C9"/>
    <w:rsid w:val="00B4613C"/>
    <w:rsid w:val="00B463D4"/>
    <w:rsid w:val="00B6614A"/>
    <w:rsid w:val="00B92CA2"/>
    <w:rsid w:val="00BA2369"/>
    <w:rsid w:val="00BA3A15"/>
    <w:rsid w:val="00BB285F"/>
    <w:rsid w:val="00BB76F1"/>
    <w:rsid w:val="00BC17A0"/>
    <w:rsid w:val="00BC5F49"/>
    <w:rsid w:val="00BD26F7"/>
    <w:rsid w:val="00BD300B"/>
    <w:rsid w:val="00BD723C"/>
    <w:rsid w:val="00BF220D"/>
    <w:rsid w:val="00C112C1"/>
    <w:rsid w:val="00C4006C"/>
    <w:rsid w:val="00C45278"/>
    <w:rsid w:val="00C71C2F"/>
    <w:rsid w:val="00C72B83"/>
    <w:rsid w:val="00C91923"/>
    <w:rsid w:val="00C920EB"/>
    <w:rsid w:val="00C92633"/>
    <w:rsid w:val="00C929F0"/>
    <w:rsid w:val="00C9634D"/>
    <w:rsid w:val="00CA7D17"/>
    <w:rsid w:val="00CB48F8"/>
    <w:rsid w:val="00CB69EC"/>
    <w:rsid w:val="00CB7703"/>
    <w:rsid w:val="00CD2863"/>
    <w:rsid w:val="00CD441E"/>
    <w:rsid w:val="00CE43DA"/>
    <w:rsid w:val="00D03F28"/>
    <w:rsid w:val="00D36AAE"/>
    <w:rsid w:val="00D37ED2"/>
    <w:rsid w:val="00D45038"/>
    <w:rsid w:val="00D75476"/>
    <w:rsid w:val="00DB6A30"/>
    <w:rsid w:val="00DC47B5"/>
    <w:rsid w:val="00DD2B8B"/>
    <w:rsid w:val="00DE0E7F"/>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E11D8"/>
    <w:rsid w:val="00EE1C58"/>
    <w:rsid w:val="00EE4E9F"/>
    <w:rsid w:val="00F2324C"/>
    <w:rsid w:val="00F24585"/>
    <w:rsid w:val="00F41ADE"/>
    <w:rsid w:val="00F8640B"/>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34CDF"/>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9158</Words>
  <Characters>49456</Characters>
  <Application>Microsoft Office Word</Application>
  <DocSecurity>0</DocSecurity>
  <Lines>412</Lines>
  <Paragraphs>116</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58498</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2</cp:revision>
  <cp:lastPrinted>2017-12-11T16:32:00Z</cp:lastPrinted>
  <dcterms:created xsi:type="dcterms:W3CDTF">2024-07-26T14:00:00Z</dcterms:created>
  <dcterms:modified xsi:type="dcterms:W3CDTF">2024-07-26T14:00:00Z</dcterms:modified>
</cp:coreProperties>
</file>